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53" w:rsidRPr="00E7461A" w:rsidRDefault="005D6A2B" w:rsidP="006D16E6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ATTACHMENT C</w:t>
      </w:r>
    </w:p>
    <w:p w:rsidR="006D16E6" w:rsidRPr="009A74E2" w:rsidRDefault="006D16E6" w:rsidP="006D16E6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 w:rsidRPr="00E7461A">
        <w:rPr>
          <w:rStyle w:val="Strong"/>
          <w:rFonts w:ascii="Arial" w:hAnsi="Arial" w:cs="Arial"/>
          <w:sz w:val="24"/>
          <w:szCs w:val="24"/>
        </w:rPr>
        <w:t xml:space="preserve">COST </w:t>
      </w:r>
      <w:r w:rsidRPr="009A74E2">
        <w:rPr>
          <w:rStyle w:val="Strong"/>
          <w:rFonts w:ascii="Arial" w:hAnsi="Arial" w:cs="Arial"/>
          <w:sz w:val="24"/>
          <w:szCs w:val="24"/>
        </w:rPr>
        <w:t>PROPOSAL</w:t>
      </w:r>
    </w:p>
    <w:p w:rsidR="006D16E6" w:rsidRPr="00E7461A" w:rsidRDefault="009A74E2" w:rsidP="006D16E6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RFP #</w:t>
      </w:r>
      <w:r w:rsidRPr="009A74E2">
        <w:rPr>
          <w:rStyle w:val="Strong"/>
          <w:rFonts w:ascii="Arial" w:hAnsi="Arial" w:cs="Arial"/>
          <w:sz w:val="24"/>
          <w:szCs w:val="24"/>
        </w:rPr>
        <w:t>5878</w:t>
      </w:r>
      <w:r w:rsidR="006D16E6" w:rsidRPr="009A74E2">
        <w:rPr>
          <w:rStyle w:val="Strong"/>
          <w:rFonts w:ascii="Arial" w:hAnsi="Arial" w:cs="Arial"/>
          <w:sz w:val="24"/>
          <w:szCs w:val="24"/>
        </w:rPr>
        <w:t xml:space="preserve"> Z1</w:t>
      </w:r>
    </w:p>
    <w:p w:rsidR="006D16E6" w:rsidRDefault="006D16E6" w:rsidP="006D1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745"/>
        <w:gridCol w:w="2160"/>
        <w:gridCol w:w="1980"/>
        <w:gridCol w:w="2160"/>
      </w:tblGrid>
      <w:tr w:rsidR="006D16E6" w:rsidTr="00E00B2D">
        <w:tc>
          <w:tcPr>
            <w:tcW w:w="6745" w:type="dxa"/>
            <w:vAlign w:val="center"/>
          </w:tcPr>
          <w:p w:rsidR="006D16E6" w:rsidRPr="006D16E6" w:rsidRDefault="006D16E6" w:rsidP="00E00B2D">
            <w:pPr>
              <w:jc w:val="center"/>
              <w:rPr>
                <w:rFonts w:ascii="Arial" w:hAnsi="Arial" w:cs="Arial"/>
              </w:rPr>
            </w:pPr>
            <w:r w:rsidRPr="006D16E6">
              <w:rPr>
                <w:rFonts w:ascii="Arial" w:hAnsi="Arial" w:cs="Arial"/>
              </w:rPr>
              <w:t>DESCRIPTION</w:t>
            </w:r>
          </w:p>
        </w:tc>
        <w:tc>
          <w:tcPr>
            <w:tcW w:w="2160" w:type="dxa"/>
          </w:tcPr>
          <w:p w:rsidR="006D16E6" w:rsidRDefault="006D16E6" w:rsidP="006D1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</w:t>
            </w:r>
          </w:p>
          <w:p w:rsidR="006D16E6" w:rsidRDefault="006D16E6" w:rsidP="006D1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One</w:t>
            </w:r>
          </w:p>
        </w:tc>
        <w:tc>
          <w:tcPr>
            <w:tcW w:w="1980" w:type="dxa"/>
          </w:tcPr>
          <w:p w:rsidR="006D16E6" w:rsidRDefault="006D16E6" w:rsidP="006D1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</w:t>
            </w:r>
          </w:p>
          <w:p w:rsidR="006D16E6" w:rsidRDefault="006D16E6" w:rsidP="006D1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Two</w:t>
            </w:r>
          </w:p>
        </w:tc>
        <w:tc>
          <w:tcPr>
            <w:tcW w:w="2160" w:type="dxa"/>
          </w:tcPr>
          <w:p w:rsidR="006D16E6" w:rsidRDefault="006D16E6" w:rsidP="006D1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Contract Period</w:t>
            </w:r>
          </w:p>
          <w:p w:rsidR="006D16E6" w:rsidRDefault="006D16E6" w:rsidP="006D1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Three </w:t>
            </w:r>
          </w:p>
        </w:tc>
      </w:tr>
      <w:tr w:rsidR="006D16E6" w:rsidTr="00E00B2D">
        <w:tc>
          <w:tcPr>
            <w:tcW w:w="6745" w:type="dxa"/>
            <w:vAlign w:val="center"/>
          </w:tcPr>
          <w:p w:rsidR="006D16E6" w:rsidRPr="00E00B2D" w:rsidRDefault="004C52C2" w:rsidP="004C52C2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Design, Development, Installation, and Implementation</w:t>
            </w:r>
            <w:r w:rsidR="00EB7ABE">
              <w:rPr>
                <w:rFonts w:ascii="Arial" w:hAnsi="Arial" w:cs="Arial"/>
                <w:sz w:val="20"/>
                <w:szCs w:val="20"/>
              </w:rPr>
              <w:t xml:space="preserve"> (Including all hardware)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6D16E6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D16E6" w:rsidRDefault="006D16E6" w:rsidP="00611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D16E6" w:rsidRDefault="006D16E6" w:rsidP="00611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941" w:rsidTr="00E00B2D">
        <w:tc>
          <w:tcPr>
            <w:tcW w:w="6745" w:type="dxa"/>
            <w:vAlign w:val="center"/>
          </w:tcPr>
          <w:p w:rsidR="00611941" w:rsidRPr="00E00B2D" w:rsidRDefault="004C52C2" w:rsidP="00611941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Annual Software License Fee</w:t>
            </w:r>
          </w:p>
        </w:tc>
        <w:tc>
          <w:tcPr>
            <w:tcW w:w="216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98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11941" w:rsidTr="00E00B2D">
        <w:tc>
          <w:tcPr>
            <w:tcW w:w="6745" w:type="dxa"/>
            <w:vAlign w:val="center"/>
          </w:tcPr>
          <w:p w:rsidR="00611941" w:rsidRPr="00E00B2D" w:rsidRDefault="004C52C2" w:rsidP="00611941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Annual Service and Support</w:t>
            </w:r>
          </w:p>
        </w:tc>
        <w:tc>
          <w:tcPr>
            <w:tcW w:w="216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98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11941" w:rsidTr="00E00B2D">
        <w:tc>
          <w:tcPr>
            <w:tcW w:w="6745" w:type="dxa"/>
            <w:vAlign w:val="center"/>
          </w:tcPr>
          <w:p w:rsidR="00611941" w:rsidRPr="00E00B2D" w:rsidRDefault="00E7461A" w:rsidP="00611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Warranty</w:t>
            </w:r>
            <w:r w:rsidR="004C52C2" w:rsidRPr="00E00B2D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11941" w:rsidRDefault="00611941" w:rsidP="00611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11941" w:rsidTr="00E00B2D">
        <w:tc>
          <w:tcPr>
            <w:tcW w:w="6745" w:type="dxa"/>
            <w:vAlign w:val="center"/>
          </w:tcPr>
          <w:p w:rsidR="00611941" w:rsidRPr="00E00B2D" w:rsidRDefault="00E00B2D" w:rsidP="004C5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Subtotal</w:t>
            </w:r>
            <w:r w:rsidR="004C52C2" w:rsidRPr="00E00B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611941" w:rsidRDefault="00E00B2D" w:rsidP="0061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980" w:type="dxa"/>
            <w:vAlign w:val="center"/>
          </w:tcPr>
          <w:p w:rsidR="00611941" w:rsidRDefault="00611941" w:rsidP="00611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11941" w:rsidRDefault="00611941" w:rsidP="00611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52C2" w:rsidRDefault="004C52C2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745"/>
        <w:gridCol w:w="2160"/>
        <w:gridCol w:w="1980"/>
        <w:gridCol w:w="2160"/>
      </w:tblGrid>
      <w:tr w:rsidR="00E00B2D" w:rsidTr="00E00B2D">
        <w:tc>
          <w:tcPr>
            <w:tcW w:w="6745" w:type="dxa"/>
            <w:vAlign w:val="center"/>
          </w:tcPr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160" w:type="dxa"/>
          </w:tcPr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</w:t>
            </w:r>
          </w:p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One</w:t>
            </w:r>
          </w:p>
        </w:tc>
        <w:tc>
          <w:tcPr>
            <w:tcW w:w="1980" w:type="dxa"/>
          </w:tcPr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</w:t>
            </w:r>
          </w:p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Two</w:t>
            </w:r>
          </w:p>
        </w:tc>
        <w:tc>
          <w:tcPr>
            <w:tcW w:w="2160" w:type="dxa"/>
          </w:tcPr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Optional Renewal Period</w:t>
            </w:r>
          </w:p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Three </w:t>
            </w:r>
          </w:p>
        </w:tc>
      </w:tr>
      <w:tr w:rsidR="00E00B2D" w:rsidTr="00E00B2D">
        <w:tc>
          <w:tcPr>
            <w:tcW w:w="6745" w:type="dxa"/>
            <w:vAlign w:val="center"/>
          </w:tcPr>
          <w:p w:rsidR="00E00B2D" w:rsidRPr="00E00B2D" w:rsidRDefault="00E00B2D" w:rsidP="00E00B2D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Annual Software License Fee</w:t>
            </w: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B2D" w:rsidTr="00E00B2D">
        <w:tc>
          <w:tcPr>
            <w:tcW w:w="6745" w:type="dxa"/>
            <w:vAlign w:val="center"/>
          </w:tcPr>
          <w:p w:rsidR="00E00B2D" w:rsidRPr="00E00B2D" w:rsidRDefault="00E00B2D" w:rsidP="00E00B2D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Annual Service and Support</w:t>
            </w: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B2D" w:rsidTr="00E00B2D">
        <w:tc>
          <w:tcPr>
            <w:tcW w:w="6745" w:type="dxa"/>
            <w:vAlign w:val="center"/>
          </w:tcPr>
          <w:p w:rsidR="00E00B2D" w:rsidRPr="00E00B2D" w:rsidRDefault="00E00B2D" w:rsidP="00E00B2D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Additional Warranty Cost (if applicable)</w:t>
            </w: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0B2D" w:rsidRDefault="00E00B2D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745"/>
        <w:gridCol w:w="2160"/>
        <w:gridCol w:w="2070"/>
        <w:gridCol w:w="2070"/>
      </w:tblGrid>
      <w:tr w:rsidR="00E00B2D" w:rsidTr="00E00B2D">
        <w:tc>
          <w:tcPr>
            <w:tcW w:w="6745" w:type="dxa"/>
            <w:vAlign w:val="center"/>
          </w:tcPr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</w:t>
            </w:r>
          </w:p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One</w:t>
            </w:r>
          </w:p>
        </w:tc>
        <w:tc>
          <w:tcPr>
            <w:tcW w:w="2070" w:type="dxa"/>
            <w:vAlign w:val="center"/>
          </w:tcPr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</w:t>
            </w:r>
          </w:p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Two</w:t>
            </w:r>
          </w:p>
        </w:tc>
        <w:tc>
          <w:tcPr>
            <w:tcW w:w="2070" w:type="dxa"/>
            <w:vAlign w:val="center"/>
          </w:tcPr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Optional Renewal Period</w:t>
            </w:r>
          </w:p>
          <w:p w:rsidR="00E00B2D" w:rsidRDefault="00E00B2D" w:rsidP="00E00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Three</w:t>
            </w:r>
          </w:p>
        </w:tc>
      </w:tr>
      <w:tr w:rsidR="00E00B2D" w:rsidTr="00E00B2D">
        <w:tc>
          <w:tcPr>
            <w:tcW w:w="6745" w:type="dxa"/>
            <w:vAlign w:val="center"/>
          </w:tcPr>
          <w:p w:rsidR="00E00B2D" w:rsidRPr="00E00B2D" w:rsidRDefault="00E00B2D" w:rsidP="00E00B2D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Annual Software License Fee</w:t>
            </w: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B2D" w:rsidTr="00E00B2D">
        <w:tc>
          <w:tcPr>
            <w:tcW w:w="6745" w:type="dxa"/>
            <w:vAlign w:val="center"/>
          </w:tcPr>
          <w:p w:rsidR="00E00B2D" w:rsidRPr="00E00B2D" w:rsidRDefault="00E00B2D" w:rsidP="00E00B2D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Annual Service and Support</w:t>
            </w: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B2D" w:rsidTr="00E00B2D">
        <w:tc>
          <w:tcPr>
            <w:tcW w:w="6745" w:type="dxa"/>
            <w:vAlign w:val="center"/>
          </w:tcPr>
          <w:p w:rsidR="00E00B2D" w:rsidRPr="00E00B2D" w:rsidRDefault="00E00B2D" w:rsidP="00E00B2D">
            <w:pPr>
              <w:rPr>
                <w:rFonts w:ascii="Arial" w:hAnsi="Arial" w:cs="Arial"/>
                <w:sz w:val="20"/>
                <w:szCs w:val="20"/>
              </w:rPr>
            </w:pPr>
            <w:r w:rsidRPr="00E00B2D">
              <w:rPr>
                <w:rFonts w:ascii="Arial" w:hAnsi="Arial" w:cs="Arial"/>
                <w:sz w:val="20"/>
                <w:szCs w:val="20"/>
              </w:rPr>
              <w:t>Additional Warranty Cost (if applicable)</w:t>
            </w:r>
          </w:p>
        </w:tc>
        <w:tc>
          <w:tcPr>
            <w:tcW w:w="216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00B2D" w:rsidRDefault="00E00B2D" w:rsidP="00E00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5537" w:rsidRDefault="00955537" w:rsidP="004F7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EE1" w:rsidRDefault="00671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1EE1" w:rsidRDefault="00671EE1">
      <w:pPr>
        <w:rPr>
          <w:rFonts w:ascii="Arial" w:hAnsi="Arial" w:cs="Arial"/>
          <w:sz w:val="24"/>
          <w:szCs w:val="24"/>
        </w:rPr>
      </w:pPr>
    </w:p>
    <w:p w:rsidR="00671EE1" w:rsidRDefault="00671EE1">
      <w:pPr>
        <w:rPr>
          <w:rFonts w:ascii="Arial" w:hAnsi="Arial" w:cs="Arial"/>
          <w:sz w:val="24"/>
          <w:szCs w:val="24"/>
        </w:rPr>
      </w:pPr>
    </w:p>
    <w:p w:rsidR="00671EE1" w:rsidRDefault="00671EE1" w:rsidP="00671EE1">
      <w:pPr>
        <w:rPr>
          <w:rFonts w:ascii="Arial" w:hAnsi="Arial" w:cs="Arial"/>
          <w:sz w:val="28"/>
          <w:szCs w:val="28"/>
          <w:u w:val="single"/>
        </w:rPr>
      </w:pPr>
      <w:r w:rsidRPr="005E4BE4">
        <w:rPr>
          <w:rFonts w:ascii="Arial" w:hAnsi="Arial" w:cs="Arial"/>
          <w:sz w:val="28"/>
          <w:szCs w:val="28"/>
          <w:u w:val="single"/>
        </w:rPr>
        <w:t>Hardware Costs</w:t>
      </w:r>
    </w:p>
    <w:p w:rsidR="00671EE1" w:rsidRPr="005E4BE4" w:rsidRDefault="00671EE1" w:rsidP="00671EE1">
      <w:pPr>
        <w:rPr>
          <w:rFonts w:ascii="Arial" w:hAnsi="Arial" w:cs="Arial"/>
          <w:sz w:val="20"/>
          <w:szCs w:val="20"/>
        </w:rPr>
      </w:pPr>
      <w:r w:rsidRPr="005E4BE4">
        <w:rPr>
          <w:rFonts w:ascii="Arial" w:hAnsi="Arial" w:cs="Arial"/>
          <w:sz w:val="20"/>
          <w:szCs w:val="20"/>
        </w:rPr>
        <w:t xml:space="preserve">Please list all </w:t>
      </w:r>
      <w:r>
        <w:rPr>
          <w:rFonts w:ascii="Arial" w:hAnsi="Arial" w:cs="Arial"/>
          <w:sz w:val="20"/>
          <w:szCs w:val="20"/>
        </w:rPr>
        <w:t xml:space="preserve">hardware cost that will be needed to meet the requirements of the RFP.  The State reserves the right to purchase the hardware from a State Contract if it is in the best interest of the State.  </w:t>
      </w:r>
    </w:p>
    <w:p w:rsidR="00671EE1" w:rsidRDefault="00671EE1" w:rsidP="00671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350"/>
        <w:gridCol w:w="2971"/>
        <w:gridCol w:w="1529"/>
        <w:gridCol w:w="1282"/>
        <w:gridCol w:w="2223"/>
      </w:tblGrid>
      <w:tr w:rsidR="00671EE1" w:rsidTr="00937153">
        <w:tc>
          <w:tcPr>
            <w:tcW w:w="3595" w:type="dxa"/>
            <w:vAlign w:val="center"/>
          </w:tcPr>
          <w:p w:rsidR="00671EE1" w:rsidRDefault="00671EE1" w:rsidP="0093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 xml:space="preserve">Hardware </w:t>
            </w:r>
          </w:p>
        </w:tc>
        <w:tc>
          <w:tcPr>
            <w:tcW w:w="1350" w:type="dxa"/>
            <w:vAlign w:val="center"/>
          </w:tcPr>
          <w:p w:rsidR="00671EE1" w:rsidRDefault="00671EE1" w:rsidP="0093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#</w:t>
            </w:r>
          </w:p>
        </w:tc>
        <w:tc>
          <w:tcPr>
            <w:tcW w:w="2971" w:type="dxa"/>
          </w:tcPr>
          <w:p w:rsidR="00671EE1" w:rsidRDefault="00671EE1" w:rsidP="0093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Specifications</w:t>
            </w:r>
          </w:p>
        </w:tc>
        <w:tc>
          <w:tcPr>
            <w:tcW w:w="1529" w:type="dxa"/>
            <w:vAlign w:val="center"/>
          </w:tcPr>
          <w:p w:rsidR="00671EE1" w:rsidRDefault="00671EE1" w:rsidP="0093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282" w:type="dxa"/>
            <w:vAlign w:val="center"/>
          </w:tcPr>
          <w:p w:rsidR="00671EE1" w:rsidRDefault="00671EE1" w:rsidP="0093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Cost</w:t>
            </w:r>
          </w:p>
        </w:tc>
        <w:tc>
          <w:tcPr>
            <w:tcW w:w="2223" w:type="dxa"/>
            <w:vAlign w:val="center"/>
          </w:tcPr>
          <w:p w:rsidR="00671EE1" w:rsidRDefault="00671EE1" w:rsidP="00937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E1" w:rsidTr="00937153">
        <w:tc>
          <w:tcPr>
            <w:tcW w:w="3595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1EE1" w:rsidRDefault="00671EE1" w:rsidP="00937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EE1" w:rsidRPr="006D16E6" w:rsidRDefault="00671EE1" w:rsidP="00671E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537" w:rsidRDefault="00955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8700"/>
        <w:gridCol w:w="1600"/>
        <w:gridCol w:w="1600"/>
      </w:tblGrid>
      <w:tr w:rsidR="00955537" w:rsidRPr="006D7B60" w:rsidTr="00937153">
        <w:trPr>
          <w:trHeight w:val="1020"/>
        </w:trPr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537" w:rsidRPr="00955537" w:rsidRDefault="00955537" w:rsidP="00937153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5537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OPTIONAL SERVICES</w:t>
            </w:r>
          </w:p>
          <w:p w:rsidR="00955537" w:rsidRDefault="00955537" w:rsidP="009371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55537" w:rsidRPr="00671EE1" w:rsidRDefault="00955537" w:rsidP="009371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1EE1">
              <w:rPr>
                <w:rFonts w:ascii="Arial" w:hAnsi="Arial" w:cs="Arial"/>
                <w:sz w:val="20"/>
                <w:szCs w:val="20"/>
              </w:rPr>
              <w:t>Provide the hourly rate for additional ser</w:t>
            </w:r>
            <w:r w:rsidR="00E7461A" w:rsidRPr="00671EE1">
              <w:rPr>
                <w:rFonts w:ascii="Arial" w:hAnsi="Arial" w:cs="Arial"/>
                <w:sz w:val="20"/>
                <w:szCs w:val="20"/>
              </w:rPr>
              <w:t xml:space="preserve">vices </w:t>
            </w:r>
            <w:r w:rsidR="00671EE1" w:rsidRPr="00671EE1">
              <w:rPr>
                <w:rFonts w:ascii="Arial" w:hAnsi="Arial" w:cs="Arial"/>
                <w:sz w:val="20"/>
                <w:szCs w:val="20"/>
              </w:rPr>
              <w:t>for Digital Signage that</w:t>
            </w:r>
            <w:r w:rsidR="00E7461A" w:rsidRPr="00671EE1">
              <w:rPr>
                <w:rFonts w:ascii="Arial" w:hAnsi="Arial" w:cs="Arial"/>
                <w:sz w:val="20"/>
                <w:szCs w:val="20"/>
              </w:rPr>
              <w:t xml:space="preserve"> may be needed and is</w:t>
            </w:r>
            <w:r w:rsidRPr="00671EE1">
              <w:rPr>
                <w:rFonts w:ascii="Arial" w:hAnsi="Arial" w:cs="Arial"/>
                <w:sz w:val="20"/>
                <w:szCs w:val="20"/>
              </w:rPr>
              <w:t xml:space="preserve"> within scope of the RFP.  There is no guarantee regarding the number of hours that will be used. </w:t>
            </w:r>
          </w:p>
          <w:p w:rsidR="00955537" w:rsidRPr="00E7461A" w:rsidRDefault="00955537" w:rsidP="009371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55537" w:rsidRPr="00671EE1" w:rsidRDefault="00955537" w:rsidP="00937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EE1">
              <w:rPr>
                <w:rFonts w:ascii="Arial" w:hAnsi="Arial" w:cs="Arial"/>
                <w:sz w:val="20"/>
                <w:szCs w:val="20"/>
              </w:rPr>
              <w:t>The bidder must list each role/title and provide an hourly rate.   These rates are fixed for the initial term of the contract.  At renewal time, rates may increase by no more than 3% with supporting justification for any increase.</w:t>
            </w:r>
          </w:p>
          <w:p w:rsidR="00955537" w:rsidRPr="006D7B60" w:rsidRDefault="00955537" w:rsidP="00937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5537" w:rsidRPr="006D7B60" w:rsidTr="00937153">
        <w:trPr>
          <w:trHeight w:val="990"/>
        </w:trPr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 ROLE/TITLE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UOM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D7B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Rate</w:t>
            </w:r>
          </w:p>
        </w:tc>
      </w:tr>
      <w:tr w:rsidR="00955537" w:rsidTr="00937153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55537" w:rsidTr="00937153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55537" w:rsidTr="00937153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55537" w:rsidTr="00937153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55537" w:rsidTr="00937153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55537" w:rsidTr="00937153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55537" w:rsidTr="00937153">
        <w:trPr>
          <w:trHeight w:val="315"/>
        </w:trPr>
        <w:tc>
          <w:tcPr>
            <w:tcW w:w="8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Pr="006D7B60" w:rsidRDefault="00955537" w:rsidP="009371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7B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pPr>
              <w:jc w:val="center"/>
            </w:pPr>
            <w:r w:rsidRPr="008961B3">
              <w:rPr>
                <w:rFonts w:ascii="Arial" w:eastAsia="Times New Roman" w:hAnsi="Arial" w:cs="Arial"/>
                <w:color w:val="000000"/>
              </w:rPr>
              <w:t>HR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37" w:rsidRDefault="00955537" w:rsidP="00937153">
            <w:r w:rsidRPr="00A2520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14653F" w:rsidRDefault="0014653F"/>
    <w:sectPr w:rsidR="0014653F" w:rsidSect="006D16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37" w:rsidRDefault="00955537" w:rsidP="00955537">
      <w:pPr>
        <w:spacing w:after="0" w:line="240" w:lineRule="auto"/>
      </w:pPr>
      <w:r>
        <w:separator/>
      </w:r>
    </w:p>
  </w:endnote>
  <w:endnote w:type="continuationSeparator" w:id="0">
    <w:p w:rsidR="00955537" w:rsidRDefault="00955537" w:rsidP="0095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37" w:rsidRDefault="00955537" w:rsidP="00955537">
      <w:pPr>
        <w:spacing w:after="0" w:line="240" w:lineRule="auto"/>
      </w:pPr>
      <w:r>
        <w:separator/>
      </w:r>
    </w:p>
  </w:footnote>
  <w:footnote w:type="continuationSeparator" w:id="0">
    <w:p w:rsidR="00955537" w:rsidRDefault="00955537" w:rsidP="00955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6"/>
    <w:rsid w:val="0014653F"/>
    <w:rsid w:val="003871D8"/>
    <w:rsid w:val="00435D3C"/>
    <w:rsid w:val="004410F5"/>
    <w:rsid w:val="004C52C2"/>
    <w:rsid w:val="004F7166"/>
    <w:rsid w:val="005B65E3"/>
    <w:rsid w:val="005D6A2B"/>
    <w:rsid w:val="005E4BE4"/>
    <w:rsid w:val="00611941"/>
    <w:rsid w:val="00671EE1"/>
    <w:rsid w:val="006D16E6"/>
    <w:rsid w:val="0077102D"/>
    <w:rsid w:val="00955537"/>
    <w:rsid w:val="009A74E2"/>
    <w:rsid w:val="00C91494"/>
    <w:rsid w:val="00E00B2D"/>
    <w:rsid w:val="00E7461A"/>
    <w:rsid w:val="00E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8C27"/>
  <w15:chartTrackingRefBased/>
  <w15:docId w15:val="{C76121FA-01A3-4BDA-B516-594506B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37"/>
  </w:style>
  <w:style w:type="paragraph" w:styleId="Footer">
    <w:name w:val="footer"/>
    <w:basedOn w:val="Normal"/>
    <w:link w:val="FooterChar"/>
    <w:uiPriority w:val="99"/>
    <w:unhideWhenUsed/>
    <w:rsid w:val="0095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37"/>
  </w:style>
  <w:style w:type="character" w:styleId="Strong">
    <w:name w:val="Strong"/>
    <w:basedOn w:val="DefaultParagraphFont"/>
    <w:uiPriority w:val="22"/>
    <w:qFormat/>
    <w:rsid w:val="00E74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Loos, MarLeigha</cp:lastModifiedBy>
  <cp:revision>4</cp:revision>
  <dcterms:created xsi:type="dcterms:W3CDTF">2018-05-17T16:50:00Z</dcterms:created>
  <dcterms:modified xsi:type="dcterms:W3CDTF">2018-06-13T20:35:00Z</dcterms:modified>
</cp:coreProperties>
</file>